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E9F6" w14:textId="2D00C6DD" w:rsidR="006D0D04" w:rsidRPr="004D5B17" w:rsidRDefault="006D0D04" w:rsidP="004D5B17">
      <w:pPr>
        <w:jc w:val="right"/>
        <w:rPr>
          <w:rFonts w:ascii="Times New Roman" w:hAnsi="Times New Roman" w:cs="Times New Roman"/>
          <w:u w:val="single"/>
        </w:rPr>
      </w:pPr>
    </w:p>
    <w:p w14:paraId="6632E443" w14:textId="77777777" w:rsidR="006D0D04" w:rsidRDefault="006D0D04" w:rsidP="006D0D04">
      <w:pPr>
        <w:rPr>
          <w:rFonts w:ascii="Times New Roman" w:hAnsi="Times New Roman" w:cs="Times New Roman"/>
          <w:b/>
          <w:bCs/>
        </w:rPr>
      </w:pPr>
    </w:p>
    <w:p w14:paraId="50FC907A" w14:textId="420F3A61" w:rsidR="00A12C6F" w:rsidRDefault="004D5B17" w:rsidP="006D0D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USTAWA </w:t>
      </w:r>
    </w:p>
    <w:p w14:paraId="63A132C9" w14:textId="0772A3AF" w:rsidR="004D5B17" w:rsidRPr="00A424FC" w:rsidRDefault="004D5B17" w:rsidP="006D0D04">
      <w:pPr>
        <w:jc w:val="center"/>
        <w:rPr>
          <w:rFonts w:ascii="Times New Roman" w:hAnsi="Times New Roman" w:cs="Times New Roman"/>
        </w:rPr>
      </w:pPr>
      <w:r w:rsidRPr="00A424FC">
        <w:rPr>
          <w:rFonts w:ascii="Times New Roman" w:hAnsi="Times New Roman" w:cs="Times New Roman"/>
        </w:rPr>
        <w:t>z dnia …</w:t>
      </w:r>
      <w:r w:rsidR="00690C3A">
        <w:rPr>
          <w:rFonts w:ascii="Times New Roman" w:hAnsi="Times New Roman" w:cs="Times New Roman"/>
        </w:rPr>
        <w:t>…………….2024 r.</w:t>
      </w:r>
    </w:p>
    <w:p w14:paraId="1552F4CD" w14:textId="5FA41EB7" w:rsidR="006D0D04" w:rsidRPr="006D0D04" w:rsidRDefault="006D0D04" w:rsidP="006D0D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zmianie ustawy – Prawo lotnicze</w:t>
      </w:r>
    </w:p>
    <w:p w14:paraId="6743C2F8" w14:textId="5ECA03FE" w:rsidR="006D0D04" w:rsidRDefault="006D0D04" w:rsidP="006D0D04">
      <w:pPr>
        <w:rPr>
          <w:rFonts w:ascii="Times New Roman" w:hAnsi="Times New Roman" w:cs="Times New Roman"/>
          <w:b/>
          <w:bCs/>
        </w:rPr>
      </w:pPr>
    </w:p>
    <w:p w14:paraId="16E979EC" w14:textId="724EBEC5" w:rsidR="004D5B17" w:rsidRDefault="004D5B17" w:rsidP="00D97A1E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Art. 1. </w:t>
      </w:r>
      <w:r w:rsidRPr="00A424FC">
        <w:rPr>
          <w:rFonts w:ascii="Times New Roman" w:hAnsi="Times New Roman" w:cs="Times New Roman"/>
        </w:rPr>
        <w:t xml:space="preserve">W ustawie z dnia </w:t>
      </w:r>
      <w:r w:rsidR="00CC3BEF">
        <w:rPr>
          <w:rFonts w:ascii="Times New Roman" w:hAnsi="Times New Roman" w:cs="Times New Roman"/>
        </w:rPr>
        <w:t>3 lipca 2002 r.</w:t>
      </w:r>
      <w:r w:rsidRPr="00A424FC">
        <w:rPr>
          <w:rFonts w:ascii="Times New Roman" w:hAnsi="Times New Roman" w:cs="Times New Roman"/>
        </w:rPr>
        <w:t xml:space="preserve"> </w:t>
      </w:r>
      <w:r w:rsidR="00445D83">
        <w:rPr>
          <w:rFonts w:ascii="Times New Roman" w:hAnsi="Times New Roman" w:cs="Times New Roman"/>
        </w:rPr>
        <w:t xml:space="preserve">- </w:t>
      </w:r>
      <w:r w:rsidRPr="00A424FC">
        <w:rPr>
          <w:rFonts w:ascii="Times New Roman" w:hAnsi="Times New Roman" w:cs="Times New Roman"/>
        </w:rPr>
        <w:t>Prawo lotnicze (</w:t>
      </w:r>
      <w:r w:rsidR="008A4CF6" w:rsidRPr="008A4CF6">
        <w:rPr>
          <w:rFonts w:ascii="Times New Roman" w:hAnsi="Times New Roman" w:cs="Times New Roman"/>
        </w:rPr>
        <w:t>Dz.</w:t>
      </w:r>
      <w:r w:rsidR="00CC3BEF">
        <w:rPr>
          <w:rFonts w:ascii="Times New Roman" w:hAnsi="Times New Roman" w:cs="Times New Roman"/>
        </w:rPr>
        <w:t xml:space="preserve"> </w:t>
      </w:r>
      <w:r w:rsidR="008A4CF6" w:rsidRPr="008A4CF6">
        <w:rPr>
          <w:rFonts w:ascii="Times New Roman" w:hAnsi="Times New Roman" w:cs="Times New Roman"/>
        </w:rPr>
        <w:t>U. z 2023 r. poz. 2110</w:t>
      </w:r>
      <w:r w:rsidRPr="00A424FC">
        <w:rPr>
          <w:rFonts w:ascii="Times New Roman" w:hAnsi="Times New Roman" w:cs="Times New Roman"/>
        </w:rPr>
        <w:t>) wprowadza się następujące zmiany:</w:t>
      </w:r>
    </w:p>
    <w:p w14:paraId="46881DB3" w14:textId="19FE409B" w:rsidR="00365B33" w:rsidRPr="004D5B17" w:rsidRDefault="004D5B17" w:rsidP="004D5B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974861" w:rsidRPr="004D5B17">
        <w:rPr>
          <w:rFonts w:ascii="Times New Roman" w:hAnsi="Times New Roman" w:cs="Times New Roman"/>
        </w:rPr>
        <w:t>w art. 55</w:t>
      </w:r>
      <w:r w:rsidR="001F70D1" w:rsidRPr="004D5B17">
        <w:rPr>
          <w:rFonts w:ascii="Times New Roman" w:hAnsi="Times New Roman" w:cs="Times New Roman"/>
        </w:rPr>
        <w:t>:</w:t>
      </w:r>
    </w:p>
    <w:p w14:paraId="740E3427" w14:textId="52919839" w:rsidR="001F70D1" w:rsidRDefault="00AB4D92" w:rsidP="001F70D1">
      <w:pPr>
        <w:pStyle w:val="Akapitzlist"/>
        <w:spacing w:after="0" w:line="360" w:lineRule="auto"/>
        <w:ind w:left="1416" w:hanging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F70D1">
        <w:rPr>
          <w:rFonts w:ascii="Times New Roman" w:hAnsi="Times New Roman" w:cs="Times New Roman"/>
        </w:rPr>
        <w:t>uchyla się ust. 9</w:t>
      </w:r>
      <w:r w:rsidR="00A042B9">
        <w:rPr>
          <w:rFonts w:ascii="Times New Roman" w:hAnsi="Times New Roman" w:cs="Times New Roman"/>
        </w:rPr>
        <w:t>,</w:t>
      </w:r>
    </w:p>
    <w:p w14:paraId="1B712AF2" w14:textId="2BE716F1" w:rsidR="00AB4D92" w:rsidRDefault="00AB4D92" w:rsidP="001F70D1">
      <w:pPr>
        <w:pStyle w:val="Akapitzlist"/>
        <w:spacing w:after="0" w:line="360" w:lineRule="auto"/>
        <w:ind w:left="1416" w:hanging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ust. 11 otrzymuje brzmienie: </w:t>
      </w:r>
    </w:p>
    <w:p w14:paraId="111A1573" w14:textId="18A268EF" w:rsidR="001F70D1" w:rsidRDefault="00AB4D92" w:rsidP="004D5B1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4D5B17">
        <w:rPr>
          <w:rFonts w:ascii="Times New Roman" w:hAnsi="Times New Roman" w:cs="Times New Roman"/>
        </w:rPr>
        <w:t>„11. Do zmiany planu generalnego przepisy ust. 6-8 stosuje się odpowiednio.”</w:t>
      </w:r>
      <w:r w:rsidR="004D2383" w:rsidRPr="004D5B17">
        <w:rPr>
          <w:rFonts w:ascii="Times New Roman" w:hAnsi="Times New Roman" w:cs="Times New Roman"/>
        </w:rPr>
        <w:t>;</w:t>
      </w:r>
    </w:p>
    <w:p w14:paraId="214D7E20" w14:textId="77777777" w:rsidR="00B45771" w:rsidRPr="004D5B17" w:rsidRDefault="00B45771" w:rsidP="004D5B1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</w:p>
    <w:p w14:paraId="4F7B1B56" w14:textId="36A0855D" w:rsidR="00974861" w:rsidRPr="0043506D" w:rsidRDefault="0043506D" w:rsidP="00814106">
      <w:pPr>
        <w:spacing w:after="0" w:line="360" w:lineRule="auto"/>
        <w:ind w:hanging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5B17">
        <w:rPr>
          <w:rFonts w:ascii="Times New Roman" w:hAnsi="Times New Roman" w:cs="Times New Roman"/>
        </w:rPr>
        <w:t>2)</w:t>
      </w:r>
      <w:r w:rsidR="004D5B17">
        <w:rPr>
          <w:rFonts w:ascii="Times New Roman" w:hAnsi="Times New Roman" w:cs="Times New Roman"/>
        </w:rPr>
        <w:tab/>
      </w:r>
      <w:r w:rsidR="00974861" w:rsidRPr="0043506D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w art. 87</w:t>
      </w:r>
      <w:r w:rsidR="00974861" w:rsidRPr="0043506D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7</w:t>
      </w:r>
      <w:r w:rsidR="00974861" w:rsidRPr="0043506D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="00690C3A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po ust. 3 </w:t>
      </w:r>
      <w:r w:rsidR="00974861" w:rsidRPr="0043506D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dodaje się ust. 4 w brzmieniu:</w:t>
      </w:r>
    </w:p>
    <w:p w14:paraId="6352386D" w14:textId="6C2E790D" w:rsidR="00974861" w:rsidRPr="0043506D" w:rsidRDefault="00974861" w:rsidP="00D97A1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„4. Uzgodnienie, o którym mowa w ust. 1 pkt 1 lit. a i d obejmuje </w:t>
      </w:r>
      <w:r w:rsidR="00273E2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w szczególności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zgodność </w:t>
      </w:r>
      <w:r w:rsidRPr="009A53E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projekt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ów</w:t>
      </w:r>
      <w:r w:rsidRPr="009A53E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planów ogólnych gminy, projekt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ów</w:t>
      </w:r>
      <w:r w:rsidRPr="009A53E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miejscowych planów zagospodarowania przestrzennego i projekt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ów</w:t>
      </w:r>
      <w:r w:rsidRPr="009A53E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decyzji o warunkach zabudowy </w:t>
      </w:r>
      <w:r w:rsidR="00D97A1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br/>
      </w:r>
      <w:r w:rsidRPr="009A53E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i zagospodarowania terenu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z postanowieniami planu generalnego w zakresie określonym w art. 55 ust. 6</w:t>
      </w:r>
      <w:r w:rsidR="00690C3A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.</w:t>
      </w:r>
      <w:r w:rsidR="0043506D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”</w:t>
      </w:r>
      <w:r w:rsidR="00A042B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.</w:t>
      </w:r>
    </w:p>
    <w:p w14:paraId="79089C0B" w14:textId="5DF0269D" w:rsidR="00974861" w:rsidRDefault="00974861" w:rsidP="00D97A1E">
      <w:pPr>
        <w:shd w:val="clear" w:color="auto" w:fill="FFFFFF"/>
        <w:spacing w:before="10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4D5B17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Art. </w:t>
      </w:r>
      <w:r w:rsidR="004D5B17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2</w:t>
      </w:r>
      <w:r w:rsidR="00814106" w:rsidRPr="004D5B17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.</w:t>
      </w:r>
      <w:r w:rsidRPr="004D5B17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 xml:space="preserve"> </w:t>
      </w:r>
      <w:r w:rsidRPr="004D5B1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Przepis art. 87</w:t>
      </w:r>
      <w:r w:rsidRPr="004D5B17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7</w:t>
      </w:r>
      <w:r w:rsidRPr="004D5B1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ustawy zmienianej w art. 1 w brzmieniu dotychczasowym stosuje się do postępowań wszczętych i niezakończonych do dnia wejścia w życie niniejszej ustawy.</w:t>
      </w:r>
    </w:p>
    <w:p w14:paraId="243033F4" w14:textId="4DB1AA56" w:rsidR="004D5B17" w:rsidRDefault="004D5B17" w:rsidP="00D97A1E">
      <w:pPr>
        <w:shd w:val="clear" w:color="auto" w:fill="FFFFFF"/>
        <w:spacing w:before="10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4D5B17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Art. 3.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Ustawa wchodzi w życie po upływie 14 dni od dnia ogłoszenia.</w:t>
      </w:r>
    </w:p>
    <w:p w14:paraId="7800B1CB" w14:textId="3680FA55" w:rsidR="00825A6D" w:rsidRDefault="004D5B17" w:rsidP="00C675A4">
      <w:pP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br w:type="page"/>
      </w:r>
    </w:p>
    <w:p w14:paraId="5C4E2460" w14:textId="271C6C92" w:rsidR="00825A6D" w:rsidRPr="00D15752" w:rsidRDefault="00825A6D" w:rsidP="008227D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lastRenderedPageBreak/>
        <w:t>UZASADNIENIE</w:t>
      </w:r>
    </w:p>
    <w:p w14:paraId="13958205" w14:textId="404B24B8" w:rsidR="003F4A49" w:rsidRPr="00D15752" w:rsidRDefault="00C675A4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  <w:t>Wyjaśnienie potrzeby i celu wydania ustawy</w:t>
      </w:r>
    </w:p>
    <w:p w14:paraId="4BF57085" w14:textId="260B88BE" w:rsidR="0033298F" w:rsidRDefault="0033298F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Celem ustawy jest odblokowanie możliwości rozwoju przestrzennego polskich miast poprzez zmodyfikowanie szczególnych zasad planowania i zagospodarowania przestrzennego w otoczeniu lotnisk, przy jednoczesnym zwiększeniu poziomu ochrony bezpieczeństwa lotniska, wynikającego m. in. z uprawnień władczych Prezesa Urzędu Lotnictwa Cywilnego wobec procesów urbanizacji.</w:t>
      </w:r>
    </w:p>
    <w:p w14:paraId="0F4F8A38" w14:textId="61131022" w:rsidR="00E21ACA" w:rsidRPr="00D15752" w:rsidRDefault="00E21ACA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Potrzeba wydania ustawy wynika z konieczności przeciwdziałania negatywnym skutkom, jakie dla rozwoju polskich miast ma </w:t>
      </w:r>
      <w:r w:rsidR="008227DA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niemożność wydawania decyzji o warunkach zabudowy w odniesieniu do istotnej części ich obszarów zurbanizowanych, objętych planami generalnymi lotnisk.</w:t>
      </w:r>
    </w:p>
    <w:p w14:paraId="090922E2" w14:textId="2D3D8BE4" w:rsidR="003F4A49" w:rsidRPr="00D15752" w:rsidRDefault="00C675A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Przedstawienie</w:t>
      </w:r>
      <w:r w:rsidR="003F4A49" w:rsidRPr="00D15752">
        <w:rPr>
          <w:b/>
          <w:bCs/>
          <w:color w:val="000000"/>
          <w:sz w:val="22"/>
          <w:szCs w:val="22"/>
        </w:rPr>
        <w:t xml:space="preserve"> rzeczywist</w:t>
      </w:r>
      <w:r w:rsidRPr="00D15752">
        <w:rPr>
          <w:b/>
          <w:bCs/>
          <w:color w:val="000000"/>
          <w:sz w:val="22"/>
          <w:szCs w:val="22"/>
        </w:rPr>
        <w:t>ego</w:t>
      </w:r>
      <w:r w:rsidR="003F4A49" w:rsidRPr="00D15752">
        <w:rPr>
          <w:b/>
          <w:bCs/>
          <w:color w:val="000000"/>
          <w:sz w:val="22"/>
          <w:szCs w:val="22"/>
        </w:rPr>
        <w:t xml:space="preserve"> stan</w:t>
      </w:r>
      <w:r w:rsidRPr="00D15752">
        <w:rPr>
          <w:b/>
          <w:bCs/>
          <w:color w:val="000000"/>
          <w:sz w:val="22"/>
          <w:szCs w:val="22"/>
        </w:rPr>
        <w:t>u</w:t>
      </w:r>
      <w:r w:rsidR="003F4A49" w:rsidRPr="00D15752">
        <w:rPr>
          <w:b/>
          <w:bCs/>
          <w:color w:val="000000"/>
          <w:sz w:val="22"/>
          <w:szCs w:val="22"/>
        </w:rPr>
        <w:t xml:space="preserve"> w dziedzinie, która ma być unormowana</w:t>
      </w:r>
    </w:p>
    <w:p w14:paraId="34AC2D8E" w14:textId="62878F20" w:rsidR="0033298F" w:rsidRPr="00D15752" w:rsidRDefault="0033298F" w:rsidP="008227DA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Podstawą powstawania, rozbudowy oraz funkcjonowania lotniska jest plan generalny lotniska (</w:t>
      </w:r>
      <w:r w:rsidR="00A042B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dalej: 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PGL), uregulowany w art. 55 ust. 6 i nast. </w:t>
      </w:r>
      <w:r w:rsidRPr="00D15752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ustawy – Prawo lotnicze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(</w:t>
      </w:r>
      <w:r w:rsidR="00A042B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dalej: 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PL). PGL stanowi dokument strategiczny lotniska, określa jego uwarunkowania biznesowe oraz przestrzenne. PGL określa m. in. 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obszar objęty planem, z określeniem dopuszczalnych gabarytów obiektów budowlanych i naturalnych oraz koncepcję rozwoju przestrzennego wraz z zagospodarowaniem stref wokół lotniska. Zgodnie z art. 55 ust. 9 PL dla terenów objętych planem generalnym sporządzenie miejscowego planu zagospodarowania przestrzennego - zgodnego z zatwierdzonym planem generalnym - jest obowiązkowe (nie dotyczy to C</w:t>
      </w:r>
      <w:r w:rsidR="00A042B9">
        <w:rPr>
          <w:rFonts w:ascii="Times New Roman" w:hAnsi="Times New Roman" w:cs="Times New Roman"/>
          <w:color w:val="333333"/>
          <w:shd w:val="clear" w:color="auto" w:fill="FFFFFF"/>
        </w:rPr>
        <w:t xml:space="preserve">entralnego 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A042B9">
        <w:rPr>
          <w:rFonts w:ascii="Times New Roman" w:hAnsi="Times New Roman" w:cs="Times New Roman"/>
          <w:color w:val="333333"/>
          <w:shd w:val="clear" w:color="auto" w:fill="FFFFFF"/>
        </w:rPr>
        <w:t xml:space="preserve">ortu 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K</w:t>
      </w:r>
      <w:r w:rsidR="00A042B9">
        <w:rPr>
          <w:rFonts w:ascii="Times New Roman" w:hAnsi="Times New Roman" w:cs="Times New Roman"/>
          <w:color w:val="333333"/>
          <w:shd w:val="clear" w:color="auto" w:fill="FFFFFF"/>
        </w:rPr>
        <w:t>omunikacyjnego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).</w:t>
      </w:r>
    </w:p>
    <w:p w14:paraId="4C5C68D1" w14:textId="13CEBBBC" w:rsidR="0033298F" w:rsidRPr="00D15752" w:rsidRDefault="0033298F" w:rsidP="008227DA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D15752">
        <w:rPr>
          <w:rFonts w:ascii="Times New Roman" w:hAnsi="Times New Roman" w:cs="Times New Roman"/>
          <w:color w:val="333333"/>
          <w:shd w:val="clear" w:color="auto" w:fill="FFFFFF"/>
        </w:rPr>
        <w:t>W związku z orzecznictwem NSA powstałym w ostatnich latach</w:t>
      </w:r>
      <w:r w:rsidR="00D97A7F" w:rsidRPr="00D15752">
        <w:rPr>
          <w:rFonts w:ascii="Times New Roman" w:hAnsi="Times New Roman" w:cs="Times New Roman"/>
          <w:color w:val="333333"/>
          <w:shd w:val="clear" w:color="auto" w:fill="FFFFFF"/>
        </w:rPr>
        <w:t xml:space="preserve"> (m. in. </w:t>
      </w:r>
      <w:r w:rsidR="00D97A7F" w:rsidRPr="00D1575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wyrok Naczelnego Sądu Administracyjnego z dnia 26 kwietnia 2023 r. II OSK 1476/20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EE0225" w:rsidRPr="00D1575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wyrok Naczelnego Sądu Administracyjnego z dnia 26 listopada 2020 r. II OSK 1656/20</w:t>
      </w:r>
      <w:r w:rsidR="008C38AA" w:rsidRPr="00D15752"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zakres obowiązku planistycznego związanego z PGL uległ znacznemu poszerzeniu - nie obejmuje jedynie terenu lotniska, lecz rozciąga się na wszystkie obszary ograniczeń, zasadniczo wysokościowych, które PGL generuje w związku z bezpieczeństwem operacji lotniczych. Taki kierunek orzecznictwa przełamał dotychczasową ugruntowaną praktykę interpretacji przedmiotowych przepisów, ograniczających obowiązek planistyczny do najbliższego otoczenia lotniska.</w:t>
      </w:r>
    </w:p>
    <w:p w14:paraId="102DF7AA" w14:textId="004D6C8B" w:rsidR="0033298F" w:rsidRPr="00D15752" w:rsidRDefault="0033298F" w:rsidP="008227DA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15752">
        <w:rPr>
          <w:rFonts w:ascii="Times New Roman" w:hAnsi="Times New Roman" w:cs="Times New Roman"/>
          <w:color w:val="333333"/>
          <w:shd w:val="clear" w:color="auto" w:fill="FFFFFF"/>
        </w:rPr>
        <w:t xml:space="preserve">Obowiązek uchwalenia planu miejscowego w warunkach przepisów planistycznych równoznaczny jest skutkowi określonemu w art. 62 ust. 2 </w:t>
      </w:r>
      <w:r w:rsidRPr="00D1575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ustawy o planowaniu i zagospodarowaniu przestrzennym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A042B9">
        <w:rPr>
          <w:rFonts w:ascii="Times New Roman" w:hAnsi="Times New Roman" w:cs="Times New Roman"/>
          <w:color w:val="333333"/>
          <w:shd w:val="clear" w:color="auto" w:fill="FFFFFF"/>
        </w:rPr>
        <w:t xml:space="preserve">dalej: 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UPZP), zgodnie z którym jeżeli wniosek o ustalenie warunków zabudowy dotyczy obszaru, w odniesieniu do którego istnieje obowiązek sporządzenia planu miejscowego, postępowanie administracyjne w sprawie ustalenia warunków zabudowy bezwarunkowo zawiesza się do czasu uchwalenia planu.</w:t>
      </w:r>
    </w:p>
    <w:p w14:paraId="4E82F126" w14:textId="77777777" w:rsidR="0033298F" w:rsidRPr="00D15752" w:rsidRDefault="0033298F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Z uwagi na sytuowanie większości polskich miast stosunkowo blisko granic obszaru zurbanizowanego miast, obszar objęty skutkiem określonym w art. 55 ust. 9 PL obejmuje znaczną część terenów rozwoju funkcji produkcyjnych, magazynowych, usługowych oraz mieszkaniowych. Jednocześnie z uwagi na szereg uwarunkowań niemożliwe jest szybkie pokrycie całości tych terenów miejscowymi planami zagospodarowania przestrzennego, w związku z tym decyzja o warunkach zabudowy pozostaje dla tych terenów jedynym narzędziem lokalizacji inwestycji.</w:t>
      </w:r>
    </w:p>
    <w:p w14:paraId="79682E93" w14:textId="77777777" w:rsidR="000253F2" w:rsidRPr="00D15752" w:rsidRDefault="000253F2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Obecna sytuacja, w której zmieniająca się linia orzecznicza NSA spowodowała nagłe wyłączenie z możliwości zabudowy istotnych fragmentów obszarów zurbanizowanych polskich miast stanowi realne zagrożenie dla szeroko rozumianego ładu przestrzennego, obejmującego również realizację inwestycji (publicznych i prywatnych) na obszarach pozbawionych planu miejscowego. Skutki tej nagłej zmiany pogłębia fakt wieloletniego cyklu planowania inwestycji budowlanych, w kontekście procesu 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lastRenderedPageBreak/>
        <w:t xml:space="preserve">projektowania, oceny i nabycia gruntów oraz pozyskiwania finansowania (publicznego bądź prywatnego). </w:t>
      </w:r>
    </w:p>
    <w:p w14:paraId="2CCFB4FD" w14:textId="512E7EA5" w:rsidR="000253F2" w:rsidRPr="00D15752" w:rsidRDefault="000253F2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Skutki tego stanu w sferze finansowej obejmą nie tylko bezpośrednio inwestorów przedsięwzięć, dla których uzyskanie warunków zabudowy stało się niemożliwe (bądź ustalone warunki zabudowy zostaną podważone w trybie nieważnościowym), lecz również podmioty publiczne – z powodu zaistnienia podstaw prawnych do żądania odszkodowa</w:t>
      </w:r>
      <w:r w:rsidR="00EE0225"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ń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za brak możliwości zabudowy nieruchomości w jakimkolwiek trybie z racji braku uchwalonego planu miejscowego.</w:t>
      </w:r>
    </w:p>
    <w:p w14:paraId="2AF28384" w14:textId="5391CCFF" w:rsidR="0033298F" w:rsidRPr="00D15752" w:rsidRDefault="0033298F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Obszar otoczenia lotniska jest jednocześnie w polskim prawie chroniony za pomocą uprawnień Prezesa Urzędu Lotniska Cywilnego (ULC) określonych w dziale IV rozdział 4 </w:t>
      </w:r>
      <w:r w:rsidR="00EE0225"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PL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m. in. uzgadnianie (czynność władcza z zakresu administracji publicznej) </w:t>
      </w:r>
      <w:r w:rsidRPr="00D15752">
        <w:rPr>
          <w:rFonts w:ascii="Times New Roman" w:hAnsi="Times New Roman" w:cs="Times New Roman"/>
          <w:color w:val="333333"/>
          <w:shd w:val="clear" w:color="auto" w:fill="FFFFFF"/>
        </w:rPr>
        <w:t>projektów planów ogólnych gminy (obecnie studiów), miejscowych planów zagospodarowania przestrzennego i – co ważne - decyzji o warunkach zabudowy i zagospodarowania terenu. Dotyczy to wszystkich terenów, dla których wyznaczono ograniczenia wysokościowe związane z OLS. Uprawnienia Prezesa ULC są w tym zakresie identyczne w odniesieniu do decyzji o warunkach zabudowy oraz planu miejscowego – w obu przypadkach poskutkują uzgodnieniem takich samych ograniczeń inwestycyjnych, chroniących lotnisko.</w:t>
      </w:r>
    </w:p>
    <w:p w14:paraId="3E8BDE51" w14:textId="40BF54B3" w:rsidR="003F4A49" w:rsidRPr="00D15752" w:rsidRDefault="00C675A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Ws</w:t>
      </w:r>
      <w:r w:rsidR="003F4A49" w:rsidRPr="00D15752">
        <w:rPr>
          <w:b/>
          <w:bCs/>
          <w:color w:val="000000"/>
          <w:sz w:val="22"/>
          <w:szCs w:val="22"/>
        </w:rPr>
        <w:t>kaz</w:t>
      </w:r>
      <w:r w:rsidRPr="00D15752">
        <w:rPr>
          <w:b/>
          <w:bCs/>
          <w:color w:val="000000"/>
          <w:sz w:val="22"/>
          <w:szCs w:val="22"/>
        </w:rPr>
        <w:t>anie</w:t>
      </w:r>
      <w:r w:rsidR="003F4A49" w:rsidRPr="00D15752">
        <w:rPr>
          <w:b/>
          <w:bCs/>
          <w:color w:val="000000"/>
          <w:sz w:val="22"/>
          <w:szCs w:val="22"/>
        </w:rPr>
        <w:t xml:space="preserve"> różnic pomiędzy dotychczasowym a projektowanym stanem prawnym</w:t>
      </w:r>
    </w:p>
    <w:p w14:paraId="4C40F3D9" w14:textId="16B0B454" w:rsidR="00D15752" w:rsidRPr="00D15752" w:rsidRDefault="00D15752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Ustawa zakłada uchylenie obowiązku uchwalenia miejscowych planów zagospodarowania przestrzennego dla terenów objętych planem generalnym lotniska, znosząc związany z tym skutek dla decyzji o warunkach zabudowy, w postaci bezterminowego zawieszenia postępowania. </w:t>
      </w:r>
    </w:p>
    <w:p w14:paraId="72D7B062" w14:textId="06D8EAB0" w:rsidR="00D15752" w:rsidRDefault="00D15752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Istotą ustawy jest zatem umożliwienie wydawania decyzji o warunkach zabudowy w otoczeniu lotnisk, w szczególności na obszarze objętym planem generalnym lotniska – w przypadku braku planu miejscowego – pod pełną kontrolą organu administracji lotniczej (Prezesa ULC), który uzgadniać będzie projekty decyzji WZ.</w:t>
      </w:r>
    </w:p>
    <w:p w14:paraId="1C0050E6" w14:textId="1AC857F3" w:rsidR="008227DA" w:rsidRPr="00D15752" w:rsidRDefault="008227DA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Należy podkreślić, że </w:t>
      </w:r>
      <w:r w:rsidR="0023118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powyższa zmiana nie dotyczy Centralnego Portu Komunikacyjnego, bowiem dla tego nowobudowanego lotniska uznano (wskutek zmian prawnych w 2023 roku), że </w:t>
      </w:r>
      <w:r w:rsidR="0025362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utrzymywanie obowiązku uchwalenia planu miejscowego jest bezzasadne – w związku z tym zniesiono ten obowiązek (art. 77</w:t>
      </w:r>
      <w:r w:rsidR="005E56A1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a</w:t>
      </w:r>
      <w:r w:rsidR="0025362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ust. 2 </w:t>
      </w:r>
      <w:r w:rsidR="00253622" w:rsidRPr="00253622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ustawy o Centralnym Porcie Komunikacyjnym</w:t>
      </w:r>
      <w:r w:rsidR="0025362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).</w:t>
      </w:r>
    </w:p>
    <w:p w14:paraId="5056E353" w14:textId="7D9EE1B0" w:rsidR="00D15752" w:rsidRDefault="00D15752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Ustawa modyfikuje </w:t>
      </w:r>
      <w:r w:rsidR="008227DA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ponadto 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zakres uzgodnień dokonywanych przez Prezesa Urzędu Lotnictwa Cywilnego, zapewniając kompleksowy i wyczerpujący charakter uzgodnienia, co zabezpiecza bezpieczeństwo operacyjne lotnisk. Przepis art. 87</w:t>
      </w:r>
      <w:r w:rsidRPr="00D15752">
        <w:rPr>
          <w:rFonts w:ascii="Times New Roman" w:eastAsia="Times New Roman" w:hAnsi="Times New Roman" w:cs="Times New Roman"/>
          <w:color w:val="333333"/>
          <w:kern w:val="0"/>
          <w:vertAlign w:val="superscript"/>
          <w:lang w:eastAsia="pl-PL"/>
          <w14:ligatures w14:val="none"/>
        </w:rPr>
        <w:t>7</w:t>
      </w:r>
      <w:r w:rsidRPr="00D1575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Prawa lotniczego określa w ust. 1 cel uzgodnienia (ochrona lotnisk przed działaniami i zdarzeniami, które mogą powodować niedopuszczalne zagrożenia dla ruchu statków powietrznych korzystających z lotniska) oraz wskazuje organy właściwe w sprawie uzgodnień i projekty aktów, które podlegają uzgodnieniu. Nie precyzuje jednak szczegółowo zakresu uzgodnienia, wspominając jedynie o terenach, na których wyznaczono powierzchnie ograniczające przeszkody. Proponowana ustawa doprecyzowuje, że materialnoprawnym przedmiotem uzgodnienia jest w szczególności zgodność projektu aktu z całokształtem ustaleń planu generalnego lotniska. Pozwala to na nadanie uzgodnieniu kompleksowego charakteru i zapewnienie pełnego bezpieczeństwa eksploatacyjnego lotniska, jak również zabezpieczenia jego planów rozwojowych.</w:t>
      </w:r>
    </w:p>
    <w:p w14:paraId="35C0CA21" w14:textId="7F97B3EF" w:rsidR="008227DA" w:rsidRDefault="008227DA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Podkreślenia wymaga, że projektowana regulacja nie wpływa na zakres i wielkość roszczeń odszkodowawczych związanych z </w:t>
      </w:r>
      <w:r w:rsidR="005E56A1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hałasem lotniczym. </w:t>
      </w:r>
      <w:r w:rsidR="00E34D5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Roszczenia odszkodowawcze związane z hałasem powstają bowiem </w:t>
      </w:r>
      <w:r w:rsidR="006B7E56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wskutek wyznaczenia w otoczeniu lotniska obszaru ograniczonego użytkowania (dalej: OOU), </w:t>
      </w:r>
      <w:r w:rsidR="00297614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regulowanego </w:t>
      </w:r>
      <w:r w:rsidR="00297614" w:rsidRPr="00297614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ustawą – Prawo ochrony środowiska</w:t>
      </w:r>
      <w:r w:rsidR="00297614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  <w:r w:rsidR="006B7E56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co jest procesem całkowicie niezależnym od zatwierdzenia planu generalnego lotniska. Podstawą do formułowania roszczeń w OOU </w:t>
      </w:r>
      <w:r w:rsidR="00A324B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jest ograniczenie w sposobie zagospodarowania nieruchomości (obowiązujące na </w:t>
      </w:r>
      <w:r w:rsidR="00A324B8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lastRenderedPageBreak/>
        <w:t>mocy uchwały wprowadzającej OOU, która stanowi akt prawa miejscowego</w:t>
      </w:r>
      <w:r w:rsidR="00297614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) </w:t>
      </w:r>
      <w:r w:rsidR="00720854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i związany z tym</w:t>
      </w:r>
      <w:r w:rsidR="00555E5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spadek wartości nieruchomości związany z wprowadzeniem obszaru – zdarzenia te występują całkowicie niezależnie od przyjmowanych planów miejscowych czy wydawanych decyzji WZ. </w:t>
      </w:r>
    </w:p>
    <w:p w14:paraId="7B964339" w14:textId="4C8B82B4" w:rsidR="00555E5E" w:rsidRPr="00D261C9" w:rsidRDefault="00555E5E" w:rsidP="008227DA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Przykładowo, w odniesieniu do Lotniska Chopina, OOU ustanowiono już w 2007 r. </w:t>
      </w:r>
      <w:r w:rsidR="002A3730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(</w:t>
      </w:r>
      <w:r w:rsidR="002A3730" w:rsidRPr="002A3730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Rozporządzenie Nr 50 Wojewody Mazowieckiego z dnia 7 sierpnia 2007 r. w sprawie utworzenia obszaru ograniczonego użytkowania dla Portu Lotniczego im. Fryderyka Chopina w Warszawie (Dz.</w:t>
      </w:r>
      <w:r w:rsidR="00A042B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 xml:space="preserve"> </w:t>
      </w:r>
      <w:r w:rsidR="002A3730" w:rsidRPr="002A3730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Urz. Woj. Maz. Nr 156, poz. 4276)</w:t>
      </w:r>
      <w:r w:rsidR="002A3730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)</w:t>
      </w:r>
      <w:r w:rsidR="00720854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,</w:t>
      </w:r>
      <w:r w:rsidR="002A3730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a zmodyfikowano ostatni raz w roku 2011 (</w:t>
      </w:r>
      <w:r w:rsidR="00D261C9" w:rsidRPr="00D261C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Uchwała nr 153/11 Sejmiku Województwa Mazowieckiego z dnia 24 października 2011 r. zmieniająca uchwałę w sprawie utworzenia obszaru ograniczonego użytkowania dla Portu Lotniczego im. Fryderyka Chopina w Warszawie (D</w:t>
      </w:r>
      <w:r w:rsidR="00A042B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z</w:t>
      </w:r>
      <w:r w:rsidR="00D261C9" w:rsidRPr="00D261C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. U</w:t>
      </w:r>
      <w:r w:rsidR="00A042B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rz</w:t>
      </w:r>
      <w:r w:rsidR="00D261C9" w:rsidRPr="00D261C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. W</w:t>
      </w:r>
      <w:r w:rsidR="00A042B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oj</w:t>
      </w:r>
      <w:r w:rsidR="00D261C9" w:rsidRPr="00D261C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 xml:space="preserve">. </w:t>
      </w:r>
      <w:r w:rsidR="00A042B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 xml:space="preserve">Maz. </w:t>
      </w:r>
      <w:r w:rsidR="00102FFE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 xml:space="preserve">Nr </w:t>
      </w:r>
      <w:r w:rsidR="00D261C9" w:rsidRPr="00D261C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206</w:t>
      </w:r>
      <w:r w:rsidR="00102FFE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 xml:space="preserve">, poz. </w:t>
      </w:r>
      <w:r w:rsidR="00D261C9" w:rsidRPr="00D261C9">
        <w:rPr>
          <w:rFonts w:ascii="Times New Roman" w:eastAsia="Times New Roman" w:hAnsi="Times New Roman" w:cs="Times New Roman"/>
          <w:i/>
          <w:iCs/>
          <w:color w:val="333333"/>
          <w:kern w:val="0"/>
          <w:lang w:eastAsia="pl-PL"/>
          <w14:ligatures w14:val="none"/>
        </w:rPr>
        <w:t>6173)</w:t>
      </w:r>
      <w:r w:rsidR="00D261C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) i wówczas nastąpiło ukształtowanie roszczeń odszkodowawczych z tym związanych</w:t>
      </w:r>
      <w:r w:rsidR="00A042B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oraz rozpoczął się bieg ich przedawnienia</w:t>
      </w:r>
      <w:r w:rsidR="00D261C9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. Żadne późniejsze zdarzenia w sferze prawnoplanistycznej, w szczególności wydanie decyzji o warunkach zabudowy, nie mają wpływu na te roszczenia.</w:t>
      </w:r>
    </w:p>
    <w:p w14:paraId="16DC9555" w14:textId="492056D1" w:rsidR="003F4A49" w:rsidRPr="00D15752" w:rsidRDefault="00C675A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Przedstawienie</w:t>
      </w:r>
      <w:r w:rsidR="003F4A49" w:rsidRPr="00D15752">
        <w:rPr>
          <w:b/>
          <w:bCs/>
          <w:color w:val="000000"/>
          <w:sz w:val="22"/>
          <w:szCs w:val="22"/>
        </w:rPr>
        <w:t xml:space="preserve"> przewidywan</w:t>
      </w:r>
      <w:r w:rsidRPr="00D15752">
        <w:rPr>
          <w:b/>
          <w:bCs/>
          <w:color w:val="000000"/>
          <w:sz w:val="22"/>
          <w:szCs w:val="22"/>
        </w:rPr>
        <w:t>ych</w:t>
      </w:r>
      <w:r w:rsidR="003F4A49" w:rsidRPr="00D15752">
        <w:rPr>
          <w:b/>
          <w:bCs/>
          <w:color w:val="000000"/>
          <w:sz w:val="22"/>
          <w:szCs w:val="22"/>
        </w:rPr>
        <w:t xml:space="preserve"> skutk</w:t>
      </w:r>
      <w:r w:rsidRPr="00D15752">
        <w:rPr>
          <w:b/>
          <w:bCs/>
          <w:color w:val="000000"/>
          <w:sz w:val="22"/>
          <w:szCs w:val="22"/>
        </w:rPr>
        <w:t>ów</w:t>
      </w:r>
      <w:r w:rsidR="003F4A49" w:rsidRPr="00D15752">
        <w:rPr>
          <w:b/>
          <w:bCs/>
          <w:color w:val="000000"/>
          <w:sz w:val="22"/>
          <w:szCs w:val="22"/>
        </w:rPr>
        <w:t xml:space="preserve"> społeczn</w:t>
      </w:r>
      <w:r w:rsidRPr="00D15752">
        <w:rPr>
          <w:b/>
          <w:bCs/>
          <w:color w:val="000000"/>
          <w:sz w:val="22"/>
          <w:szCs w:val="22"/>
        </w:rPr>
        <w:t>ych</w:t>
      </w:r>
      <w:r w:rsidR="003F4A49" w:rsidRPr="00D15752">
        <w:rPr>
          <w:b/>
          <w:bCs/>
          <w:color w:val="000000"/>
          <w:sz w:val="22"/>
          <w:szCs w:val="22"/>
        </w:rPr>
        <w:t>, gospodarcz</w:t>
      </w:r>
      <w:r w:rsidRPr="00D15752">
        <w:rPr>
          <w:b/>
          <w:bCs/>
          <w:color w:val="000000"/>
          <w:sz w:val="22"/>
          <w:szCs w:val="22"/>
        </w:rPr>
        <w:t>ych</w:t>
      </w:r>
      <w:r w:rsidR="003F4A49" w:rsidRPr="00D15752">
        <w:rPr>
          <w:b/>
          <w:bCs/>
          <w:color w:val="000000"/>
          <w:sz w:val="22"/>
          <w:szCs w:val="22"/>
        </w:rPr>
        <w:t>, finansow</w:t>
      </w:r>
      <w:r w:rsidRPr="00D15752">
        <w:rPr>
          <w:b/>
          <w:bCs/>
          <w:color w:val="000000"/>
          <w:sz w:val="22"/>
          <w:szCs w:val="22"/>
        </w:rPr>
        <w:t>ych</w:t>
      </w:r>
      <w:r w:rsidR="003F4A49" w:rsidRPr="00D15752">
        <w:rPr>
          <w:b/>
          <w:bCs/>
          <w:color w:val="000000"/>
          <w:sz w:val="22"/>
          <w:szCs w:val="22"/>
        </w:rPr>
        <w:t xml:space="preserve"> i prawn</w:t>
      </w:r>
      <w:r w:rsidRPr="00D15752">
        <w:rPr>
          <w:b/>
          <w:bCs/>
          <w:color w:val="000000"/>
          <w:sz w:val="22"/>
          <w:szCs w:val="22"/>
        </w:rPr>
        <w:t>ych</w:t>
      </w:r>
    </w:p>
    <w:p w14:paraId="0F0C2DAB" w14:textId="0EB2DFAA" w:rsidR="00720854" w:rsidRDefault="0072085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wymiarze społecznym przedmiotowa ustawa doprowadzi do poprawy sytuacji obywateli, którzy obecnie pozbawieni zostali prawa do </w:t>
      </w:r>
      <w:r w:rsidR="00060462">
        <w:rPr>
          <w:color w:val="000000"/>
          <w:sz w:val="22"/>
          <w:szCs w:val="22"/>
        </w:rPr>
        <w:t>zmiany sposobu zagospodarowania terenu w oparciu o decyzję o warunkach zabudowy i zmuszeni do oczekiwania na uchwalenie planu miejscowego, co stanowi proces długotrwały i niemożliwy do przeprowadzenia w sposób masowy w odniesieniu do całego obszernego terenu objętego PGL.</w:t>
      </w:r>
    </w:p>
    <w:p w14:paraId="1E6B2BD0" w14:textId="19373A63" w:rsidR="005E2512" w:rsidRDefault="005E2512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wymiarze gospodarczym poprawi się zarówno sytuacja podmiotów gospodarczych planujących inwestycje w otoczeniu lotniska</w:t>
      </w:r>
      <w:r w:rsidR="00095E5A">
        <w:rPr>
          <w:color w:val="000000"/>
          <w:sz w:val="22"/>
          <w:szCs w:val="22"/>
        </w:rPr>
        <w:t xml:space="preserve">, jak i samych lotnisk, których atrakcyjność zwiększa się w związku z rozwojem ich bezpośredniego otoczenia biznesowego (tzw. </w:t>
      </w:r>
      <w:r w:rsidR="00095E5A" w:rsidRPr="00095E5A">
        <w:rPr>
          <w:i/>
          <w:iCs/>
          <w:color w:val="000000"/>
          <w:sz w:val="22"/>
          <w:szCs w:val="22"/>
        </w:rPr>
        <w:t>airport city</w:t>
      </w:r>
      <w:r w:rsidR="00095E5A">
        <w:rPr>
          <w:color w:val="000000"/>
          <w:sz w:val="22"/>
          <w:szCs w:val="22"/>
        </w:rPr>
        <w:t>).</w:t>
      </w:r>
    </w:p>
    <w:p w14:paraId="625B32F4" w14:textId="3D760B78" w:rsidR="00095E5A" w:rsidRDefault="00095E5A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wymiarze finansowym brak jest bezpośrednich skutków ustawy. Pośrednio poprawi się sytuacja </w:t>
      </w:r>
      <w:r w:rsidR="00711FAF">
        <w:rPr>
          <w:color w:val="000000"/>
          <w:sz w:val="22"/>
          <w:szCs w:val="22"/>
        </w:rPr>
        <w:t>gmin objętych PGL – zwiększona liczba inwestycji, brak potencjalnych roszczeń odszkodowawczych związanych z obowiązkiem uchwalenia planów miejscowych.</w:t>
      </w:r>
    </w:p>
    <w:p w14:paraId="6CAC2889" w14:textId="732C8C38" w:rsidR="00EE0225" w:rsidRPr="00D15752" w:rsidRDefault="00EE0225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D15752">
        <w:rPr>
          <w:color w:val="000000"/>
          <w:sz w:val="22"/>
          <w:szCs w:val="22"/>
        </w:rPr>
        <w:t xml:space="preserve">W wymiarze prawnym, nastąpi zniesienie obowiązku uchwalenia planu miejscowego przez </w:t>
      </w:r>
      <w:r w:rsidR="00E771E4" w:rsidRPr="00D15752">
        <w:rPr>
          <w:color w:val="000000"/>
          <w:sz w:val="22"/>
          <w:szCs w:val="22"/>
        </w:rPr>
        <w:t>radę gminy oraz przywrócona zostanie możliwość wydawania decyzji o warunkach zabudowy (w tym odwieszone zostaną postępowania w tym przedmiocie). Poszerzone zostaną kompetencje Prezesa ULC w zakresie uzgadniania aktów planowania przestrzennego.</w:t>
      </w:r>
    </w:p>
    <w:p w14:paraId="3F2698EF" w14:textId="55AAFA60" w:rsidR="004813C0" w:rsidRPr="004813C0" w:rsidRDefault="004813C0" w:rsidP="004813C0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813C0">
        <w:rPr>
          <w:color w:val="000000"/>
          <w:sz w:val="22"/>
          <w:szCs w:val="22"/>
        </w:rPr>
        <w:t xml:space="preserve">Projekt ustawy </w:t>
      </w:r>
      <w:r>
        <w:rPr>
          <w:color w:val="000000"/>
          <w:sz w:val="22"/>
          <w:szCs w:val="22"/>
        </w:rPr>
        <w:t xml:space="preserve">nie </w:t>
      </w:r>
      <w:r w:rsidRPr="004813C0">
        <w:rPr>
          <w:color w:val="000000"/>
          <w:sz w:val="22"/>
          <w:szCs w:val="22"/>
        </w:rPr>
        <w:t xml:space="preserve">określa zasad podejmowania, wykonywania lub zakończenia działalności gospodarczej </w:t>
      </w:r>
      <w:r>
        <w:rPr>
          <w:color w:val="000000"/>
          <w:sz w:val="22"/>
          <w:szCs w:val="22"/>
        </w:rPr>
        <w:t>w rozumieniu</w:t>
      </w:r>
      <w:r w:rsidRPr="004813C0">
        <w:rPr>
          <w:color w:val="000000"/>
          <w:sz w:val="22"/>
          <w:szCs w:val="22"/>
        </w:rPr>
        <w:t xml:space="preserve"> art. 66 ust. 2 i art. 68 ustawy z dnia 6 marca 2018 r. - Prawo przedsiębiorców (Dz. U. z 202</w:t>
      </w:r>
      <w:r w:rsidR="00E1272A">
        <w:rPr>
          <w:color w:val="000000"/>
          <w:sz w:val="22"/>
          <w:szCs w:val="22"/>
        </w:rPr>
        <w:t>4</w:t>
      </w:r>
      <w:r w:rsidRPr="004813C0">
        <w:rPr>
          <w:color w:val="000000"/>
          <w:sz w:val="22"/>
          <w:szCs w:val="22"/>
        </w:rPr>
        <w:t xml:space="preserve"> r. poz. </w:t>
      </w:r>
      <w:r w:rsidR="00E1272A">
        <w:rPr>
          <w:color w:val="000000"/>
          <w:sz w:val="22"/>
          <w:szCs w:val="22"/>
        </w:rPr>
        <w:t>236</w:t>
      </w:r>
      <w:r w:rsidRPr="004813C0">
        <w:rPr>
          <w:color w:val="000000"/>
          <w:sz w:val="22"/>
          <w:szCs w:val="22"/>
        </w:rPr>
        <w:t>).</w:t>
      </w:r>
    </w:p>
    <w:p w14:paraId="2759916E" w14:textId="0F72B8C2" w:rsidR="003F4A49" w:rsidRPr="00D15752" w:rsidRDefault="00C675A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W</w:t>
      </w:r>
      <w:r w:rsidR="003F4A49" w:rsidRPr="00D15752">
        <w:rPr>
          <w:b/>
          <w:bCs/>
          <w:color w:val="000000"/>
          <w:sz w:val="22"/>
          <w:szCs w:val="22"/>
        </w:rPr>
        <w:t>skaz</w:t>
      </w:r>
      <w:r w:rsidRPr="00D15752">
        <w:rPr>
          <w:b/>
          <w:bCs/>
          <w:color w:val="000000"/>
          <w:sz w:val="22"/>
          <w:szCs w:val="22"/>
        </w:rPr>
        <w:t>anie</w:t>
      </w:r>
      <w:r w:rsidR="003F4A49" w:rsidRPr="00D15752">
        <w:rPr>
          <w:b/>
          <w:bCs/>
          <w:color w:val="000000"/>
          <w:sz w:val="22"/>
          <w:szCs w:val="22"/>
        </w:rPr>
        <w:t xml:space="preserve"> źródła finansowania, jeżeli projekt ustawy pociąga za sobą obciążenie budżetu państwa lub budżetów jednostek samorządu terytorialnego</w:t>
      </w:r>
    </w:p>
    <w:p w14:paraId="3251D57B" w14:textId="785536BF" w:rsidR="00EE0225" w:rsidRPr="00D15752" w:rsidRDefault="00E771E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D15752">
        <w:rPr>
          <w:color w:val="000000"/>
          <w:sz w:val="22"/>
          <w:szCs w:val="22"/>
        </w:rPr>
        <w:t>Projekt ustawy nie pociąga za sobą obciążeń w obszarze sektora finansów publicznych.</w:t>
      </w:r>
    </w:p>
    <w:p w14:paraId="322D019A" w14:textId="239BFD51" w:rsidR="003F4A49" w:rsidRPr="00D15752" w:rsidRDefault="00C675A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P</w:t>
      </w:r>
      <w:r w:rsidR="003F4A49" w:rsidRPr="00D15752">
        <w:rPr>
          <w:b/>
          <w:bCs/>
          <w:color w:val="000000"/>
          <w:sz w:val="22"/>
          <w:szCs w:val="22"/>
        </w:rPr>
        <w:t>rzedstawi</w:t>
      </w:r>
      <w:r w:rsidRPr="00D15752">
        <w:rPr>
          <w:b/>
          <w:bCs/>
          <w:color w:val="000000"/>
          <w:sz w:val="22"/>
          <w:szCs w:val="22"/>
        </w:rPr>
        <w:t>enie</w:t>
      </w:r>
      <w:r w:rsidR="003F4A49" w:rsidRPr="00D15752">
        <w:rPr>
          <w:b/>
          <w:bCs/>
          <w:color w:val="000000"/>
          <w:sz w:val="22"/>
          <w:szCs w:val="22"/>
        </w:rPr>
        <w:t xml:space="preserve"> założe</w:t>
      </w:r>
      <w:r w:rsidRPr="00D15752">
        <w:rPr>
          <w:b/>
          <w:bCs/>
          <w:color w:val="000000"/>
          <w:sz w:val="22"/>
          <w:szCs w:val="22"/>
        </w:rPr>
        <w:t>ń</w:t>
      </w:r>
      <w:r w:rsidR="003F4A49" w:rsidRPr="00D15752">
        <w:rPr>
          <w:b/>
          <w:bCs/>
          <w:color w:val="000000"/>
          <w:sz w:val="22"/>
          <w:szCs w:val="22"/>
        </w:rPr>
        <w:t xml:space="preserve"> projektów podstawowych aktów wykonawczych</w:t>
      </w:r>
    </w:p>
    <w:p w14:paraId="605E30B6" w14:textId="01D4DD18" w:rsidR="00F90123" w:rsidRPr="00D15752" w:rsidRDefault="00F90123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D15752">
        <w:rPr>
          <w:color w:val="000000"/>
          <w:sz w:val="22"/>
          <w:szCs w:val="22"/>
        </w:rPr>
        <w:t>Projekt ustawy nie wymaga wydania aktów wykonawczych.</w:t>
      </w:r>
    </w:p>
    <w:p w14:paraId="560DE891" w14:textId="77777777" w:rsidR="00C675A4" w:rsidRPr="00D15752" w:rsidRDefault="00C675A4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Z</w:t>
      </w:r>
      <w:r w:rsidR="003F4A49" w:rsidRPr="00D15752">
        <w:rPr>
          <w:b/>
          <w:bCs/>
          <w:color w:val="000000"/>
          <w:sz w:val="22"/>
          <w:szCs w:val="22"/>
        </w:rPr>
        <w:t>godnoś</w:t>
      </w:r>
      <w:r w:rsidRPr="00D15752">
        <w:rPr>
          <w:b/>
          <w:bCs/>
          <w:color w:val="000000"/>
          <w:sz w:val="22"/>
          <w:szCs w:val="22"/>
        </w:rPr>
        <w:t>ć</w:t>
      </w:r>
      <w:r w:rsidR="003F4A49" w:rsidRPr="00D15752">
        <w:rPr>
          <w:b/>
          <w:bCs/>
          <w:color w:val="000000"/>
          <w:sz w:val="22"/>
          <w:szCs w:val="22"/>
        </w:rPr>
        <w:t xml:space="preserve"> projektu ustawy z prawem Unii Europejskiej </w:t>
      </w:r>
    </w:p>
    <w:p w14:paraId="67672AC6" w14:textId="2E70D37C" w:rsidR="004813C0" w:rsidRPr="00D15752" w:rsidRDefault="00C675A4" w:rsidP="004813C0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D15752">
        <w:rPr>
          <w:color w:val="000000"/>
          <w:sz w:val="22"/>
          <w:szCs w:val="22"/>
        </w:rPr>
        <w:t>P</w:t>
      </w:r>
      <w:r w:rsidR="003F4A49" w:rsidRPr="00D15752">
        <w:rPr>
          <w:color w:val="000000"/>
          <w:sz w:val="22"/>
          <w:szCs w:val="22"/>
        </w:rPr>
        <w:t>rzedmiot projektowanej regulacji nie jest objęty prawem Unii Europejskiej</w:t>
      </w:r>
      <w:r w:rsidRPr="00D15752">
        <w:rPr>
          <w:color w:val="000000"/>
          <w:sz w:val="22"/>
          <w:szCs w:val="22"/>
        </w:rPr>
        <w:t>.</w:t>
      </w:r>
      <w:r w:rsidR="0033298F" w:rsidRPr="00D15752">
        <w:rPr>
          <w:color w:val="000000"/>
          <w:sz w:val="22"/>
          <w:szCs w:val="22"/>
        </w:rPr>
        <w:t xml:space="preserve"> </w:t>
      </w:r>
      <w:r w:rsidR="004813C0">
        <w:rPr>
          <w:color w:val="000000"/>
          <w:sz w:val="22"/>
          <w:szCs w:val="22"/>
        </w:rPr>
        <w:t>P</w:t>
      </w:r>
      <w:r w:rsidR="004813C0" w:rsidRPr="0019216F">
        <w:rPr>
          <w:color w:val="000000"/>
          <w:sz w:val="22"/>
          <w:szCs w:val="22"/>
        </w:rPr>
        <w:t xml:space="preserve">rojekt ustawy </w:t>
      </w:r>
      <w:r w:rsidR="004813C0">
        <w:rPr>
          <w:color w:val="000000"/>
          <w:sz w:val="22"/>
          <w:szCs w:val="22"/>
        </w:rPr>
        <w:t xml:space="preserve">nie </w:t>
      </w:r>
      <w:r w:rsidR="004813C0" w:rsidRPr="0019216F">
        <w:rPr>
          <w:color w:val="000000"/>
          <w:sz w:val="22"/>
          <w:szCs w:val="22"/>
        </w:rPr>
        <w:t>zawiera przepis</w:t>
      </w:r>
      <w:r w:rsidR="004813C0">
        <w:rPr>
          <w:color w:val="000000"/>
          <w:sz w:val="22"/>
          <w:szCs w:val="22"/>
        </w:rPr>
        <w:t>ów</w:t>
      </w:r>
      <w:r w:rsidR="004813C0" w:rsidRPr="0019216F">
        <w:rPr>
          <w:color w:val="000000"/>
          <w:sz w:val="22"/>
          <w:szCs w:val="22"/>
        </w:rPr>
        <w:t xml:space="preserve"> regulacyjn</w:t>
      </w:r>
      <w:r w:rsidR="004813C0">
        <w:rPr>
          <w:color w:val="000000"/>
          <w:sz w:val="22"/>
          <w:szCs w:val="22"/>
        </w:rPr>
        <w:t>ych</w:t>
      </w:r>
      <w:r w:rsidR="004813C0" w:rsidRPr="0019216F">
        <w:rPr>
          <w:color w:val="000000"/>
          <w:sz w:val="22"/>
          <w:szCs w:val="22"/>
        </w:rPr>
        <w:t xml:space="preserve"> lub określając</w:t>
      </w:r>
      <w:r w:rsidR="004813C0">
        <w:rPr>
          <w:color w:val="000000"/>
          <w:sz w:val="22"/>
          <w:szCs w:val="22"/>
        </w:rPr>
        <w:t>ych</w:t>
      </w:r>
      <w:r w:rsidR="004813C0" w:rsidRPr="0019216F">
        <w:rPr>
          <w:color w:val="000000"/>
          <w:sz w:val="22"/>
          <w:szCs w:val="22"/>
        </w:rPr>
        <w:t xml:space="preserve"> wymogi dotyczące świadczenia usług transgranicznych w rozumieniu ustawy z dnia 22 grudnia 2015 r. o zasadach uznawania kwalifikacji zawodowych nabytych w państwach członkowskich Unii Europejskiej (Dz. U. z 202</w:t>
      </w:r>
      <w:r w:rsidR="000349E5">
        <w:rPr>
          <w:color w:val="000000"/>
          <w:sz w:val="22"/>
          <w:szCs w:val="22"/>
        </w:rPr>
        <w:t>3</w:t>
      </w:r>
      <w:r w:rsidR="004813C0" w:rsidRPr="0019216F">
        <w:rPr>
          <w:color w:val="000000"/>
          <w:sz w:val="22"/>
          <w:szCs w:val="22"/>
        </w:rPr>
        <w:t xml:space="preserve"> r. poz. </w:t>
      </w:r>
      <w:r w:rsidR="000349E5">
        <w:rPr>
          <w:color w:val="000000"/>
          <w:sz w:val="22"/>
          <w:szCs w:val="22"/>
        </w:rPr>
        <w:t>334</w:t>
      </w:r>
      <w:r w:rsidR="004813C0" w:rsidRPr="0019216F">
        <w:rPr>
          <w:color w:val="000000"/>
          <w:sz w:val="22"/>
          <w:szCs w:val="22"/>
        </w:rPr>
        <w:t>)</w:t>
      </w:r>
      <w:r w:rsidR="004813C0">
        <w:rPr>
          <w:color w:val="000000"/>
          <w:sz w:val="22"/>
          <w:szCs w:val="22"/>
        </w:rPr>
        <w:t>.</w:t>
      </w:r>
    </w:p>
    <w:p w14:paraId="00A6A3AB" w14:textId="41DFC2CA" w:rsidR="00F77CFB" w:rsidRDefault="00F90123" w:rsidP="008227D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2"/>
          <w:szCs w:val="22"/>
          <w:shd w:val="clear" w:color="auto" w:fill="FFFFFF"/>
        </w:rPr>
      </w:pPr>
      <w:r w:rsidRPr="00D15752">
        <w:rPr>
          <w:color w:val="000000"/>
          <w:sz w:val="22"/>
          <w:szCs w:val="22"/>
        </w:rPr>
        <w:lastRenderedPageBreak/>
        <w:t xml:space="preserve">Podkreślenia wymaga, że pomimo silnego uregulowania sfery lotnictwa przepisami prawa międzynarodowego (m. in. </w:t>
      </w:r>
      <w:r w:rsidR="00F77CFB" w:rsidRPr="00D15752">
        <w:rPr>
          <w:i/>
          <w:iCs/>
          <w:color w:val="333333"/>
          <w:sz w:val="22"/>
          <w:szCs w:val="22"/>
          <w:shd w:val="clear" w:color="auto" w:fill="FFFFFF"/>
        </w:rPr>
        <w:t>Konwencj</w:t>
      </w:r>
      <w:r w:rsidR="00772AB4" w:rsidRPr="00D15752">
        <w:rPr>
          <w:i/>
          <w:iCs/>
          <w:color w:val="333333"/>
          <w:sz w:val="22"/>
          <w:szCs w:val="22"/>
          <w:shd w:val="clear" w:color="auto" w:fill="FFFFFF"/>
        </w:rPr>
        <w:t>a</w:t>
      </w:r>
      <w:r w:rsidR="00F77CFB" w:rsidRPr="00D15752">
        <w:rPr>
          <w:i/>
          <w:iCs/>
          <w:color w:val="333333"/>
          <w:sz w:val="22"/>
          <w:szCs w:val="22"/>
          <w:shd w:val="clear" w:color="auto" w:fill="FFFFFF"/>
        </w:rPr>
        <w:t xml:space="preserve"> o międzynarodowym lotnictwie cywilnym, sporządzon</w:t>
      </w:r>
      <w:r w:rsidR="00102FFE">
        <w:rPr>
          <w:i/>
          <w:iCs/>
          <w:color w:val="333333"/>
          <w:sz w:val="22"/>
          <w:szCs w:val="22"/>
          <w:shd w:val="clear" w:color="auto" w:fill="FFFFFF"/>
        </w:rPr>
        <w:t>a</w:t>
      </w:r>
      <w:r w:rsidR="00F77CFB" w:rsidRPr="00D15752">
        <w:rPr>
          <w:i/>
          <w:iCs/>
          <w:color w:val="333333"/>
          <w:sz w:val="22"/>
          <w:szCs w:val="22"/>
          <w:shd w:val="clear" w:color="auto" w:fill="FFFFFF"/>
        </w:rPr>
        <w:t xml:space="preserve"> w Chicago dnia 7 grudnia 1944 r. (Dz.U. z 1959 r. Nr 35, </w:t>
      </w:r>
      <w:r w:rsidR="00F77CFB" w:rsidRPr="00D15752">
        <w:rPr>
          <w:rFonts w:eastAsiaTheme="majorEastAsia"/>
          <w:i/>
          <w:iCs/>
          <w:sz w:val="22"/>
          <w:szCs w:val="22"/>
          <w:shd w:val="clear" w:color="auto" w:fill="FFFFFF"/>
        </w:rPr>
        <w:t>poz. 212</w:t>
      </w:r>
      <w:r w:rsidR="00F77CFB" w:rsidRPr="00D15752">
        <w:rPr>
          <w:i/>
          <w:iCs/>
          <w:color w:val="333333"/>
          <w:sz w:val="22"/>
          <w:szCs w:val="22"/>
          <w:shd w:val="clear" w:color="auto" w:fill="FFFFFF"/>
        </w:rPr>
        <w:t> ze zm.)</w:t>
      </w:r>
      <w:r w:rsidR="00772AB4" w:rsidRPr="00D15752">
        <w:rPr>
          <w:i/>
          <w:iCs/>
          <w:color w:val="333333"/>
          <w:sz w:val="22"/>
          <w:szCs w:val="22"/>
          <w:shd w:val="clear" w:color="auto" w:fill="FFFFFF"/>
        </w:rPr>
        <w:t xml:space="preserve">, </w:t>
      </w:r>
      <w:r w:rsidR="00772AB4" w:rsidRPr="00FB2594">
        <w:rPr>
          <w:color w:val="333333"/>
          <w:sz w:val="22"/>
          <w:szCs w:val="22"/>
          <w:shd w:val="clear" w:color="auto" w:fill="FFFFFF"/>
        </w:rPr>
        <w:t>w tym jej</w:t>
      </w:r>
      <w:r w:rsidR="00772AB4" w:rsidRPr="00D15752">
        <w:rPr>
          <w:i/>
          <w:iCs/>
          <w:color w:val="333333"/>
          <w:sz w:val="22"/>
          <w:szCs w:val="22"/>
          <w:shd w:val="clear" w:color="auto" w:fill="FFFFFF"/>
        </w:rPr>
        <w:t xml:space="preserve"> załącznik nr 14 (tom I "Projektowanie i eksploatacja lotnisk")</w:t>
      </w:r>
      <w:r w:rsidR="00772AB4" w:rsidRPr="00D15752">
        <w:rPr>
          <w:color w:val="333333"/>
          <w:sz w:val="22"/>
          <w:szCs w:val="22"/>
          <w:shd w:val="clear" w:color="auto" w:fill="FFFFFF"/>
        </w:rPr>
        <w:t>) nie przesądzają one w żaden sposób zagadnienia stosowania krajowych narzędzi planistycznych, nie odnoszą się w związku z tym do problematyki obowiązku wydania planu miejscowego bądź zakazu wydawania decyzji o warunkach zabudowy. Projektowane rozwiązania zwiększają poziom bezpieczeństwa otoczenia lotniska poprzez poszerzenie kompetencji Prezesa ULC</w:t>
      </w:r>
      <w:r w:rsidR="00102FFE">
        <w:rPr>
          <w:color w:val="333333"/>
          <w:sz w:val="22"/>
          <w:szCs w:val="22"/>
          <w:shd w:val="clear" w:color="auto" w:fill="FFFFFF"/>
        </w:rPr>
        <w:t>, pozostają w związku z tym zgodne z wymogami prawa międzynarodowego, adresującego ten problem w sposób ogólny.</w:t>
      </w:r>
    </w:p>
    <w:p w14:paraId="488072E6" w14:textId="2FA84162" w:rsidR="00C675A4" w:rsidRPr="00D15752" w:rsidRDefault="00C675A4" w:rsidP="008227DA">
      <w:pPr>
        <w:pStyle w:val="NormalnyWeb"/>
        <w:spacing w:before="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</w:rPr>
      </w:pPr>
      <w:r w:rsidRPr="00D15752">
        <w:rPr>
          <w:b/>
          <w:bCs/>
          <w:color w:val="000000"/>
          <w:sz w:val="22"/>
          <w:szCs w:val="22"/>
        </w:rPr>
        <w:t>Wyniki przeprowadzonych konsultacji społecznych</w:t>
      </w:r>
    </w:p>
    <w:p w14:paraId="2D3EC9DC" w14:textId="39D70922" w:rsidR="003F4A49" w:rsidRPr="00FB2594" w:rsidRDefault="006F4CAC" w:rsidP="00FB2594">
      <w:pPr>
        <w:pStyle w:val="Normalny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D15752">
        <w:rPr>
          <w:color w:val="000000"/>
          <w:sz w:val="22"/>
          <w:szCs w:val="22"/>
        </w:rPr>
        <w:t xml:space="preserve">Z racji ograniczonego zakresu zmian, które zawiera przedmiotowa ustawa, nie przeprowadzono jej konsultacji społecznych. Rozwiązania ustawy oparte są o postulaty legislacyjne zgłaszane przez środowisko samorządowe – Unię Metropolii Polskich, w ramach prac nad </w:t>
      </w:r>
      <w:r w:rsidRPr="00D15752">
        <w:rPr>
          <w:i/>
          <w:iCs/>
          <w:color w:val="000000"/>
          <w:sz w:val="22"/>
          <w:szCs w:val="22"/>
        </w:rPr>
        <w:t xml:space="preserve">ustawą </w:t>
      </w:r>
      <w:r w:rsidR="00AB3019" w:rsidRPr="00D15752">
        <w:rPr>
          <w:i/>
          <w:iCs/>
          <w:color w:val="000000"/>
          <w:sz w:val="22"/>
          <w:szCs w:val="22"/>
        </w:rPr>
        <w:t xml:space="preserve">o zmianie ustawy o zapewnianiu dostępności osobom ze szczególnymi potrzebami </w:t>
      </w:r>
      <w:r w:rsidR="00AB3019" w:rsidRPr="00D15752">
        <w:rPr>
          <w:color w:val="000000"/>
          <w:sz w:val="22"/>
          <w:szCs w:val="22"/>
        </w:rPr>
        <w:t>(druk sejmowy nr 430).</w:t>
      </w:r>
    </w:p>
    <w:sectPr w:rsidR="003F4A49" w:rsidRPr="00FB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DDCB5" w14:textId="77777777" w:rsidR="00186AC9" w:rsidRDefault="00186AC9" w:rsidP="007749E3">
      <w:pPr>
        <w:spacing w:after="0" w:line="240" w:lineRule="auto"/>
      </w:pPr>
      <w:r>
        <w:separator/>
      </w:r>
    </w:p>
  </w:endnote>
  <w:endnote w:type="continuationSeparator" w:id="0">
    <w:p w14:paraId="17BD3178" w14:textId="77777777" w:rsidR="00186AC9" w:rsidRDefault="00186AC9" w:rsidP="0077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E094C" w14:textId="77777777" w:rsidR="00186AC9" w:rsidRDefault="00186AC9" w:rsidP="007749E3">
      <w:pPr>
        <w:spacing w:after="0" w:line="240" w:lineRule="auto"/>
      </w:pPr>
      <w:r>
        <w:separator/>
      </w:r>
    </w:p>
  </w:footnote>
  <w:footnote w:type="continuationSeparator" w:id="0">
    <w:p w14:paraId="5BD8A6EF" w14:textId="77777777" w:rsidR="00186AC9" w:rsidRDefault="00186AC9" w:rsidP="0077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26F"/>
    <w:multiLevelType w:val="hybridMultilevel"/>
    <w:tmpl w:val="F8D254A2"/>
    <w:lvl w:ilvl="0" w:tplc="B9F815F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75C26"/>
    <w:multiLevelType w:val="hybridMultilevel"/>
    <w:tmpl w:val="74DA4A66"/>
    <w:lvl w:ilvl="0" w:tplc="551EB5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D41F34"/>
    <w:multiLevelType w:val="hybridMultilevel"/>
    <w:tmpl w:val="F546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63A"/>
    <w:multiLevelType w:val="hybridMultilevel"/>
    <w:tmpl w:val="4126D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E1A6E"/>
    <w:multiLevelType w:val="hybridMultilevel"/>
    <w:tmpl w:val="AD8A02B6"/>
    <w:lvl w:ilvl="0" w:tplc="CB0AD144">
      <w:start w:val="2"/>
      <w:numFmt w:val="lowerLetter"/>
      <w:lvlText w:val="%1)"/>
      <w:lvlJc w:val="left"/>
      <w:pPr>
        <w:ind w:left="2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92" w:hanging="360"/>
      </w:pPr>
    </w:lvl>
    <w:lvl w:ilvl="2" w:tplc="0415001B" w:tentative="1">
      <w:start w:val="1"/>
      <w:numFmt w:val="lowerRoman"/>
      <w:lvlText w:val="%3."/>
      <w:lvlJc w:val="right"/>
      <w:pPr>
        <w:ind w:left="3912" w:hanging="180"/>
      </w:pPr>
    </w:lvl>
    <w:lvl w:ilvl="3" w:tplc="0415000F" w:tentative="1">
      <w:start w:val="1"/>
      <w:numFmt w:val="decimal"/>
      <w:lvlText w:val="%4."/>
      <w:lvlJc w:val="left"/>
      <w:pPr>
        <w:ind w:left="4632" w:hanging="360"/>
      </w:pPr>
    </w:lvl>
    <w:lvl w:ilvl="4" w:tplc="04150019" w:tentative="1">
      <w:start w:val="1"/>
      <w:numFmt w:val="lowerLetter"/>
      <w:lvlText w:val="%5."/>
      <w:lvlJc w:val="left"/>
      <w:pPr>
        <w:ind w:left="5352" w:hanging="360"/>
      </w:pPr>
    </w:lvl>
    <w:lvl w:ilvl="5" w:tplc="0415001B" w:tentative="1">
      <w:start w:val="1"/>
      <w:numFmt w:val="lowerRoman"/>
      <w:lvlText w:val="%6."/>
      <w:lvlJc w:val="right"/>
      <w:pPr>
        <w:ind w:left="6072" w:hanging="180"/>
      </w:pPr>
    </w:lvl>
    <w:lvl w:ilvl="6" w:tplc="0415000F" w:tentative="1">
      <w:start w:val="1"/>
      <w:numFmt w:val="decimal"/>
      <w:lvlText w:val="%7."/>
      <w:lvlJc w:val="left"/>
      <w:pPr>
        <w:ind w:left="6792" w:hanging="360"/>
      </w:pPr>
    </w:lvl>
    <w:lvl w:ilvl="7" w:tplc="04150019" w:tentative="1">
      <w:start w:val="1"/>
      <w:numFmt w:val="lowerLetter"/>
      <w:lvlText w:val="%8."/>
      <w:lvlJc w:val="left"/>
      <w:pPr>
        <w:ind w:left="7512" w:hanging="360"/>
      </w:pPr>
    </w:lvl>
    <w:lvl w:ilvl="8" w:tplc="0415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5" w15:restartNumberingAfterBreak="0">
    <w:nsid w:val="789C48E8"/>
    <w:multiLevelType w:val="hybridMultilevel"/>
    <w:tmpl w:val="31B673F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46E7C"/>
    <w:multiLevelType w:val="hybridMultilevel"/>
    <w:tmpl w:val="802EE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F5011"/>
    <w:multiLevelType w:val="hybridMultilevel"/>
    <w:tmpl w:val="19264826"/>
    <w:lvl w:ilvl="0" w:tplc="E1224F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222256">
    <w:abstractNumId w:val="3"/>
  </w:num>
  <w:num w:numId="2" w16cid:durableId="1928221355">
    <w:abstractNumId w:val="6"/>
  </w:num>
  <w:num w:numId="3" w16cid:durableId="886184977">
    <w:abstractNumId w:val="2"/>
  </w:num>
  <w:num w:numId="4" w16cid:durableId="155609327">
    <w:abstractNumId w:val="7"/>
  </w:num>
  <w:num w:numId="5" w16cid:durableId="154882050">
    <w:abstractNumId w:val="1"/>
  </w:num>
  <w:num w:numId="6" w16cid:durableId="1443452490">
    <w:abstractNumId w:val="5"/>
  </w:num>
  <w:num w:numId="7" w16cid:durableId="165094207">
    <w:abstractNumId w:val="4"/>
  </w:num>
  <w:num w:numId="8" w16cid:durableId="97664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B"/>
    <w:rsid w:val="000253F2"/>
    <w:rsid w:val="00025EA7"/>
    <w:rsid w:val="0002669B"/>
    <w:rsid w:val="00027428"/>
    <w:rsid w:val="00032E3D"/>
    <w:rsid w:val="000349E5"/>
    <w:rsid w:val="00046069"/>
    <w:rsid w:val="000557F0"/>
    <w:rsid w:val="00060462"/>
    <w:rsid w:val="000752F5"/>
    <w:rsid w:val="00095E5A"/>
    <w:rsid w:val="000B1747"/>
    <w:rsid w:val="000E4285"/>
    <w:rsid w:val="00101C7D"/>
    <w:rsid w:val="00102FFE"/>
    <w:rsid w:val="00124799"/>
    <w:rsid w:val="00126E07"/>
    <w:rsid w:val="00127E4A"/>
    <w:rsid w:val="00141412"/>
    <w:rsid w:val="00176345"/>
    <w:rsid w:val="00186AC9"/>
    <w:rsid w:val="001901FA"/>
    <w:rsid w:val="0019216F"/>
    <w:rsid w:val="00196454"/>
    <w:rsid w:val="001D2EBB"/>
    <w:rsid w:val="001E01C1"/>
    <w:rsid w:val="001E27BF"/>
    <w:rsid w:val="001F447B"/>
    <w:rsid w:val="001F70D1"/>
    <w:rsid w:val="00231185"/>
    <w:rsid w:val="00253622"/>
    <w:rsid w:val="00253CFC"/>
    <w:rsid w:val="00265670"/>
    <w:rsid w:val="00273E22"/>
    <w:rsid w:val="00285A49"/>
    <w:rsid w:val="0029317A"/>
    <w:rsid w:val="00297614"/>
    <w:rsid w:val="002A3730"/>
    <w:rsid w:val="002B56C0"/>
    <w:rsid w:val="002B5826"/>
    <w:rsid w:val="002D0231"/>
    <w:rsid w:val="002E411F"/>
    <w:rsid w:val="002F07D5"/>
    <w:rsid w:val="002F529F"/>
    <w:rsid w:val="00302EE8"/>
    <w:rsid w:val="00305C63"/>
    <w:rsid w:val="00306430"/>
    <w:rsid w:val="0031396B"/>
    <w:rsid w:val="00315C82"/>
    <w:rsid w:val="0033298F"/>
    <w:rsid w:val="00365B33"/>
    <w:rsid w:val="00376830"/>
    <w:rsid w:val="00381503"/>
    <w:rsid w:val="0039684A"/>
    <w:rsid w:val="003C27A3"/>
    <w:rsid w:val="003C6C01"/>
    <w:rsid w:val="003F22CD"/>
    <w:rsid w:val="003F3C15"/>
    <w:rsid w:val="003F4A49"/>
    <w:rsid w:val="00403295"/>
    <w:rsid w:val="004054F0"/>
    <w:rsid w:val="00413A4F"/>
    <w:rsid w:val="0043506D"/>
    <w:rsid w:val="00445D83"/>
    <w:rsid w:val="00453904"/>
    <w:rsid w:val="00467733"/>
    <w:rsid w:val="004813C0"/>
    <w:rsid w:val="004C3B2B"/>
    <w:rsid w:val="004D0974"/>
    <w:rsid w:val="004D2383"/>
    <w:rsid w:val="004D5B17"/>
    <w:rsid w:val="004E330C"/>
    <w:rsid w:val="004E7B9A"/>
    <w:rsid w:val="004F18AB"/>
    <w:rsid w:val="0050220C"/>
    <w:rsid w:val="00546DA5"/>
    <w:rsid w:val="005516AB"/>
    <w:rsid w:val="00555E5E"/>
    <w:rsid w:val="00580463"/>
    <w:rsid w:val="005A17E0"/>
    <w:rsid w:val="005D1FE2"/>
    <w:rsid w:val="005D557D"/>
    <w:rsid w:val="005E2512"/>
    <w:rsid w:val="005E2F84"/>
    <w:rsid w:val="005E56A1"/>
    <w:rsid w:val="005F3248"/>
    <w:rsid w:val="006661B7"/>
    <w:rsid w:val="00667350"/>
    <w:rsid w:val="006709C0"/>
    <w:rsid w:val="0068459E"/>
    <w:rsid w:val="00690C3A"/>
    <w:rsid w:val="006A4135"/>
    <w:rsid w:val="006B3308"/>
    <w:rsid w:val="006B7A65"/>
    <w:rsid w:val="006B7E56"/>
    <w:rsid w:val="006B7F2D"/>
    <w:rsid w:val="006D0D04"/>
    <w:rsid w:val="006F4CAC"/>
    <w:rsid w:val="00711FAF"/>
    <w:rsid w:val="00720854"/>
    <w:rsid w:val="0074331F"/>
    <w:rsid w:val="0075362D"/>
    <w:rsid w:val="0077176D"/>
    <w:rsid w:val="00772AB4"/>
    <w:rsid w:val="0077312F"/>
    <w:rsid w:val="007749E3"/>
    <w:rsid w:val="00774CBD"/>
    <w:rsid w:val="007914AF"/>
    <w:rsid w:val="007B7369"/>
    <w:rsid w:val="00807645"/>
    <w:rsid w:val="00814106"/>
    <w:rsid w:val="00817835"/>
    <w:rsid w:val="008227DA"/>
    <w:rsid w:val="00825A6D"/>
    <w:rsid w:val="008A4CF6"/>
    <w:rsid w:val="008B74CB"/>
    <w:rsid w:val="008B7D83"/>
    <w:rsid w:val="008C0B0C"/>
    <w:rsid w:val="008C38AA"/>
    <w:rsid w:val="008D1A81"/>
    <w:rsid w:val="008D6477"/>
    <w:rsid w:val="00910978"/>
    <w:rsid w:val="00917580"/>
    <w:rsid w:val="00974861"/>
    <w:rsid w:val="00982872"/>
    <w:rsid w:val="009A53EE"/>
    <w:rsid w:val="009A6441"/>
    <w:rsid w:val="009C5623"/>
    <w:rsid w:val="009C6870"/>
    <w:rsid w:val="009E17C8"/>
    <w:rsid w:val="009E3725"/>
    <w:rsid w:val="00A006C5"/>
    <w:rsid w:val="00A042B9"/>
    <w:rsid w:val="00A12C6F"/>
    <w:rsid w:val="00A324B8"/>
    <w:rsid w:val="00A424FC"/>
    <w:rsid w:val="00A6680E"/>
    <w:rsid w:val="00A702C6"/>
    <w:rsid w:val="00A92689"/>
    <w:rsid w:val="00AA0A22"/>
    <w:rsid w:val="00AA617F"/>
    <w:rsid w:val="00AB3019"/>
    <w:rsid w:val="00AB4D92"/>
    <w:rsid w:val="00AB6EB3"/>
    <w:rsid w:val="00AE54E8"/>
    <w:rsid w:val="00AF0AE6"/>
    <w:rsid w:val="00AF2EE8"/>
    <w:rsid w:val="00AF48AA"/>
    <w:rsid w:val="00AF5D24"/>
    <w:rsid w:val="00B2223B"/>
    <w:rsid w:val="00B3728D"/>
    <w:rsid w:val="00B442C4"/>
    <w:rsid w:val="00B45771"/>
    <w:rsid w:val="00B550EB"/>
    <w:rsid w:val="00B82F9F"/>
    <w:rsid w:val="00B974B9"/>
    <w:rsid w:val="00B97E25"/>
    <w:rsid w:val="00BC0051"/>
    <w:rsid w:val="00BD4CC8"/>
    <w:rsid w:val="00BE1C68"/>
    <w:rsid w:val="00C01646"/>
    <w:rsid w:val="00C4102B"/>
    <w:rsid w:val="00C47D39"/>
    <w:rsid w:val="00C519AD"/>
    <w:rsid w:val="00C53D93"/>
    <w:rsid w:val="00C675A4"/>
    <w:rsid w:val="00C73A46"/>
    <w:rsid w:val="00CC2DCC"/>
    <w:rsid w:val="00CC3BEF"/>
    <w:rsid w:val="00D010FC"/>
    <w:rsid w:val="00D15752"/>
    <w:rsid w:val="00D261C9"/>
    <w:rsid w:val="00D35F5B"/>
    <w:rsid w:val="00D44BA5"/>
    <w:rsid w:val="00D75F3C"/>
    <w:rsid w:val="00D92C3A"/>
    <w:rsid w:val="00D97A1E"/>
    <w:rsid w:val="00D97A7F"/>
    <w:rsid w:val="00DD12CE"/>
    <w:rsid w:val="00DF52A6"/>
    <w:rsid w:val="00E1272A"/>
    <w:rsid w:val="00E21ACA"/>
    <w:rsid w:val="00E2295F"/>
    <w:rsid w:val="00E34D58"/>
    <w:rsid w:val="00E71F29"/>
    <w:rsid w:val="00E762A3"/>
    <w:rsid w:val="00E771E4"/>
    <w:rsid w:val="00E9269A"/>
    <w:rsid w:val="00E9774F"/>
    <w:rsid w:val="00E97B86"/>
    <w:rsid w:val="00EE0225"/>
    <w:rsid w:val="00F07DD5"/>
    <w:rsid w:val="00F66B25"/>
    <w:rsid w:val="00F77CFB"/>
    <w:rsid w:val="00F90123"/>
    <w:rsid w:val="00F91ED0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2B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1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1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1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1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0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0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0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0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0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0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1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10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10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10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1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10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102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9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9E3"/>
    <w:rPr>
      <w:vertAlign w:val="superscript"/>
    </w:rPr>
  </w:style>
  <w:style w:type="paragraph" w:styleId="Poprawka">
    <w:name w:val="Revision"/>
    <w:hidden/>
    <w:uiPriority w:val="99"/>
    <w:semiHidden/>
    <w:rsid w:val="0098287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F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77C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80E"/>
  </w:style>
  <w:style w:type="paragraph" w:styleId="Stopka">
    <w:name w:val="footer"/>
    <w:basedOn w:val="Normalny"/>
    <w:link w:val="StopkaZnak"/>
    <w:uiPriority w:val="99"/>
    <w:unhideWhenUsed/>
    <w:rsid w:val="00A6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5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05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9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28AA-284F-4472-AC95-BF767BF9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2024-07-24T10:16:00Z</dcterms:created>
  <dcterms:modified xsi:type="dcterms:W3CDTF">2024-07-24T10:16:00Z</dcterms:modified>
</cp:coreProperties>
</file>